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7F" w:rsidRDefault="002676F9" w:rsidP="002676F9">
      <w:pPr>
        <w:pStyle w:val="Titel"/>
      </w:pPr>
      <w:r>
        <w:t>Blütenlese</w:t>
      </w:r>
    </w:p>
    <w:p w:rsidR="002676F9" w:rsidRDefault="002676F9" w:rsidP="002676F9"/>
    <w:p w:rsidR="00605D91" w:rsidRDefault="00605D91" w:rsidP="008C2E0A">
      <w:pPr>
        <w:pStyle w:val="Listenabsatz"/>
        <w:numPr>
          <w:ilvl w:val="0"/>
          <w:numId w:val="1"/>
        </w:numPr>
      </w:pPr>
      <w:r>
        <w:t>Trotzdem: Unklar – und hier vor allem empirisch unklar – bleibt in der (Text)Linguistik der Übergang von „Gestaltungs-Offenheit“ zu einer sozial anerkannten Invarianz oder Musterbildung – also der Prozess der Selektionsbildung selbst.</w:t>
      </w:r>
      <w:r>
        <w:rPr>
          <w:rStyle w:val="Endnotenzeichen"/>
        </w:rPr>
        <w:endnoteReference w:id="1"/>
      </w:r>
    </w:p>
    <w:p w:rsidR="00605D91" w:rsidRDefault="00605D91" w:rsidP="00605D91">
      <w:pPr>
        <w:pStyle w:val="Listenabsatz"/>
        <w:spacing w:line="480" w:lineRule="auto"/>
      </w:pPr>
      <w:r>
        <w:t>_______________________________________________________________________________________________________________________________________________________________________________________________________________</w:t>
      </w:r>
    </w:p>
    <w:p w:rsidR="002676F9" w:rsidRPr="00750192" w:rsidRDefault="00605D91" w:rsidP="002676F9">
      <w:pPr>
        <w:pStyle w:val="Listenabsatz"/>
        <w:spacing w:line="480" w:lineRule="auto"/>
        <w:rPr>
          <w:b/>
        </w:rPr>
      </w:pPr>
      <w:r>
        <w:t>_____________________________________________________________________</w:t>
      </w:r>
    </w:p>
    <w:p w:rsidR="00C543B0" w:rsidRDefault="00C543B0" w:rsidP="00C543B0">
      <w:pPr>
        <w:pStyle w:val="Listenabsatz"/>
        <w:numPr>
          <w:ilvl w:val="0"/>
          <w:numId w:val="1"/>
        </w:numPr>
      </w:pPr>
      <w:r>
        <w:t>Das neue, das Lacan im Vergleich zu Freud beitrug, bestand darin, die Wissenschaftlichkeit der Psychoanalyse und ihre Problemstellung in einem koextensiven Zusammenhang mit den mathematischen Wissenschaften und dem strukturalen Zugang des borromäischen Knotens, der die Instanzen des Realen, Symbolischen, Imaginären und des Symptoms beschreibt (R,S,I,σ) zu sehen.</w:t>
      </w:r>
      <w:r>
        <w:rPr>
          <w:rStyle w:val="Endnotenzeichen"/>
        </w:rPr>
        <w:endnoteReference w:id="2"/>
      </w:r>
    </w:p>
    <w:p w:rsidR="00C543B0" w:rsidRDefault="00C543B0" w:rsidP="00C543B0">
      <w:pPr>
        <w:pStyle w:val="Listenabsatz"/>
        <w:spacing w:line="480" w:lineRule="auto"/>
      </w:pPr>
      <w:r>
        <w:t>_______________________________________________________________________________________________________________________________________________________________________________________________________________</w:t>
      </w:r>
    </w:p>
    <w:p w:rsidR="00C543B0" w:rsidRPr="00750192" w:rsidRDefault="00C543B0" w:rsidP="00C543B0">
      <w:pPr>
        <w:pStyle w:val="Listenabsatz"/>
        <w:spacing w:line="480" w:lineRule="auto"/>
        <w:rPr>
          <w:b/>
        </w:rPr>
      </w:pPr>
      <w:r>
        <w:t>_____________________________________________________________________</w:t>
      </w:r>
    </w:p>
    <w:p w:rsidR="00A26156" w:rsidRDefault="008C2E0A" w:rsidP="00A26156">
      <w:pPr>
        <w:pStyle w:val="Listenabsatz"/>
        <w:numPr>
          <w:ilvl w:val="0"/>
          <w:numId w:val="1"/>
        </w:numPr>
      </w:pPr>
      <w:r w:rsidRPr="008C2E0A">
        <w:t>„So also symbolisiert das erektionsfähige Organ den Platz des Genießens, nicht als es selbst, nicht mal als Bild, sondern als der dem begehrten Bild fehlende Teil: darum auch ist es dem √-1 der weiter oben produzierten Bedeutung gleichzusetzen, des Genießens, den es durch den Koeffizienten seiner Aussage der Mangelfunktion des Signifikanten wiedererstattet: (-1)“</w:t>
      </w:r>
      <w:r w:rsidR="00A26156">
        <w:rPr>
          <w:rStyle w:val="Endnotenzeichen"/>
        </w:rPr>
        <w:endnoteReference w:id="3"/>
      </w:r>
    </w:p>
    <w:p w:rsidR="00A26156" w:rsidRPr="008C2E0A" w:rsidRDefault="00A26156" w:rsidP="008C2E0A">
      <w:pPr>
        <w:pStyle w:val="Listenabsatz"/>
        <w:spacing w:line="480" w:lineRule="auto"/>
      </w:pPr>
      <w:r>
        <w:t>_______________________________________________________________________________________________________________________________________________________________________________________________________________</w:t>
      </w:r>
    </w:p>
    <w:p w:rsidR="008C2E0A" w:rsidRDefault="008C2E0A" w:rsidP="008C2E0A">
      <w:pPr>
        <w:pStyle w:val="Listenabsatz"/>
      </w:pPr>
      <w:r>
        <w:t>_____________________________________________________________________</w:t>
      </w:r>
    </w:p>
    <w:p w:rsidR="008C2E0A" w:rsidRDefault="008C2E0A" w:rsidP="008C2E0A">
      <w:pPr>
        <w:pStyle w:val="Listenabsatz"/>
      </w:pPr>
    </w:p>
    <w:p w:rsidR="00A26156" w:rsidRDefault="00A26156" w:rsidP="008C2E0A">
      <w:pPr>
        <w:pStyle w:val="Listenabsatz"/>
        <w:numPr>
          <w:ilvl w:val="0"/>
          <w:numId w:val="1"/>
        </w:numPr>
      </w:pPr>
      <w:r>
        <w:t>Das Volumen subterraner Agrarprodukte steht in reziproker Relation zur intellektuellen Kapazität ihrer Produzenten.</w:t>
      </w:r>
      <w:r>
        <w:rPr>
          <w:rStyle w:val="Endnotenzeichen"/>
        </w:rPr>
        <w:endnoteReference w:id="4"/>
      </w:r>
      <w:r>
        <w:t xml:space="preserve"> </w:t>
      </w:r>
    </w:p>
    <w:p w:rsidR="00A26156" w:rsidRDefault="00A26156" w:rsidP="00A26156">
      <w:pPr>
        <w:pStyle w:val="Listenabsatz"/>
        <w:spacing w:line="480" w:lineRule="auto"/>
      </w:pPr>
      <w:r>
        <w:t>_______________________________________________________________________________________________________________________________________________________________________________________________________________</w:t>
      </w:r>
    </w:p>
    <w:p w:rsidR="00B15B8F" w:rsidRDefault="00B15B8F">
      <w:pPr>
        <w:rPr>
          <w:b/>
        </w:rPr>
      </w:pPr>
    </w:p>
    <w:p w:rsidR="00605D91" w:rsidRDefault="00605D91">
      <w:pPr>
        <w:rPr>
          <w:b/>
        </w:rPr>
      </w:pPr>
      <w:r>
        <w:rPr>
          <w:b/>
        </w:rPr>
        <w:lastRenderedPageBreak/>
        <w:t>Popper gegen Habermas</w:t>
      </w:r>
      <w:r>
        <w:rPr>
          <w:rStyle w:val="Endnotenzeichen"/>
          <w:b/>
        </w:rPr>
        <w:endnoteReference w:id="5"/>
      </w:r>
    </w:p>
    <w:p w:rsidR="00C81A6E" w:rsidRDefault="00C81A6E">
      <w:pPr>
        <w:rPr>
          <w:b/>
        </w:rPr>
      </w:pPr>
      <w:bookmarkStart w:id="0" w:name="_GoBack"/>
      <w:bookmarkEnd w:id="0"/>
    </w:p>
    <w:p w:rsidR="00605D91" w:rsidRPr="00750192" w:rsidRDefault="00605D91">
      <w:pPr>
        <w:rPr>
          <w:b/>
        </w:rPr>
      </w:pPr>
    </w:p>
    <w:tbl>
      <w:tblPr>
        <w:tblStyle w:val="Tabellenraster"/>
        <w:tblW w:w="0" w:type="auto"/>
        <w:tblInd w:w="720" w:type="dxa"/>
        <w:tblLook w:val="04A0" w:firstRow="1" w:lastRow="0" w:firstColumn="1" w:lastColumn="0" w:noHBand="0" w:noVBand="1"/>
      </w:tblPr>
      <w:tblGrid>
        <w:gridCol w:w="4299"/>
        <w:gridCol w:w="4269"/>
      </w:tblGrid>
      <w:tr w:rsidR="00B15B8F" w:rsidTr="00B15B8F">
        <w:tc>
          <w:tcPr>
            <w:tcW w:w="4606" w:type="dxa"/>
          </w:tcPr>
          <w:p w:rsidR="00B15B8F" w:rsidRPr="00B15B8F" w:rsidRDefault="00B15B8F" w:rsidP="00B15B8F">
            <w:pPr>
              <w:rPr>
                <w:b/>
              </w:rPr>
            </w:pPr>
            <w:r w:rsidRPr="00B15B8F">
              <w:rPr>
                <w:b/>
              </w:rPr>
              <w:t>Habermas zitiert Adorno</w:t>
            </w:r>
          </w:p>
        </w:tc>
        <w:tc>
          <w:tcPr>
            <w:tcW w:w="4606" w:type="dxa"/>
          </w:tcPr>
          <w:p w:rsidR="00B15B8F" w:rsidRPr="00B15B8F" w:rsidRDefault="00B15B8F" w:rsidP="00B15B8F">
            <w:pPr>
              <w:rPr>
                <w:b/>
              </w:rPr>
            </w:pPr>
            <w:r w:rsidRPr="00B15B8F">
              <w:rPr>
                <w:b/>
              </w:rPr>
              <w:t>Poppers Übersetzung</w:t>
            </w:r>
          </w:p>
        </w:tc>
      </w:tr>
      <w:tr w:rsidR="00B15B8F" w:rsidTr="00B15B8F">
        <w:tc>
          <w:tcPr>
            <w:tcW w:w="4606" w:type="dxa"/>
          </w:tcPr>
          <w:p w:rsidR="00B15B8F" w:rsidRPr="00B15B8F" w:rsidRDefault="00B15B8F" w:rsidP="00B15B8F">
            <w:r w:rsidRPr="00B15B8F">
              <w:t>Die gesellschaftliche Totalität führt kein Eigenleben oberhalb des von ihr Zusammengefaßten, aus dem sie selbst besteht.</w:t>
            </w:r>
            <w:r w:rsidRPr="00B15B8F">
              <w:br/>
            </w:r>
          </w:p>
        </w:tc>
        <w:tc>
          <w:tcPr>
            <w:tcW w:w="4606" w:type="dxa"/>
          </w:tcPr>
          <w:p w:rsidR="00B15B8F" w:rsidRPr="00B15B8F" w:rsidRDefault="00B15B8F" w:rsidP="00B15B8F">
            <w:r w:rsidRPr="00B15B8F">
              <w:t xml:space="preserve">Die Gesellschaft besteht aus den gesellschaftlichen Beziehungen. </w:t>
            </w:r>
          </w:p>
        </w:tc>
      </w:tr>
      <w:tr w:rsidR="00B15B8F" w:rsidTr="00B15B8F">
        <w:tc>
          <w:tcPr>
            <w:tcW w:w="4606" w:type="dxa"/>
          </w:tcPr>
          <w:p w:rsidR="00B15B8F" w:rsidRPr="00B15B8F" w:rsidRDefault="00B15B8F" w:rsidP="00B15B8F">
            <w:r w:rsidRPr="00B15B8F">
              <w:t xml:space="preserve">Sie produziert und reproduziert sich durch ihre einzelnen Momente hindurch. </w:t>
            </w:r>
            <w:r w:rsidRPr="00B15B8F">
              <w:br/>
            </w:r>
          </w:p>
        </w:tc>
        <w:tc>
          <w:tcPr>
            <w:tcW w:w="4606" w:type="dxa"/>
          </w:tcPr>
          <w:p w:rsidR="00B15B8F" w:rsidRPr="00B15B8F" w:rsidRDefault="00B15B8F" w:rsidP="00B15B8F">
            <w:r w:rsidRPr="00B15B8F">
              <w:t>Die verschiedenen Beziehungen produzieren irgendwie die Gesellschaft.</w:t>
            </w:r>
          </w:p>
        </w:tc>
      </w:tr>
      <w:tr w:rsidR="00B15B8F" w:rsidTr="00B15B8F">
        <w:tc>
          <w:tcPr>
            <w:tcW w:w="4606" w:type="dxa"/>
          </w:tcPr>
          <w:p w:rsidR="00B15B8F" w:rsidRPr="00B15B8F" w:rsidRDefault="00B15B8F" w:rsidP="00B15B8F">
            <w:r w:rsidRPr="00B15B8F">
              <w:t>System und Einzelheit sind reziprok und nur in der Reziprozität zu verstehen.</w:t>
            </w:r>
            <w:r w:rsidRPr="00B15B8F">
              <w:br/>
            </w:r>
          </w:p>
        </w:tc>
        <w:tc>
          <w:tcPr>
            <w:tcW w:w="4606" w:type="dxa"/>
          </w:tcPr>
          <w:p w:rsidR="00B15B8F" w:rsidRPr="00B15B8F" w:rsidRDefault="00B15B8F" w:rsidP="00B15B8F">
            <w:r w:rsidRPr="00B15B8F">
              <w:t>Keine der gesellschaftlichen Beziehungen kann ohne die anderen verstanden werden.</w:t>
            </w:r>
          </w:p>
        </w:tc>
      </w:tr>
      <w:tr w:rsidR="00B15B8F" w:rsidTr="00B15B8F">
        <w:tc>
          <w:tcPr>
            <w:tcW w:w="4606" w:type="dxa"/>
          </w:tcPr>
          <w:p w:rsidR="00B15B8F" w:rsidRPr="00B15B8F" w:rsidRDefault="00B15B8F" w:rsidP="00B15B8F">
            <w:pPr>
              <w:rPr>
                <w:b/>
              </w:rPr>
            </w:pPr>
            <w:r w:rsidRPr="00B15B8F">
              <w:rPr>
                <w:b/>
              </w:rPr>
              <w:t>Nun Prof. Habermas selbst:</w:t>
            </w:r>
          </w:p>
        </w:tc>
        <w:tc>
          <w:tcPr>
            <w:tcW w:w="4606" w:type="dxa"/>
          </w:tcPr>
          <w:p w:rsidR="00B15B8F" w:rsidRPr="00B15B8F" w:rsidRDefault="00B15B8F" w:rsidP="00B15B8F"/>
        </w:tc>
      </w:tr>
      <w:tr w:rsidR="00B15B8F" w:rsidTr="00B15B8F">
        <w:tc>
          <w:tcPr>
            <w:tcW w:w="4606" w:type="dxa"/>
          </w:tcPr>
          <w:p w:rsidR="00B15B8F" w:rsidRPr="00B15B8F" w:rsidRDefault="00B15B8F" w:rsidP="00B15B8F">
            <w:r w:rsidRPr="00B15B8F">
              <w:t>Adorno begreift die Gesellschaft in Kathegorien, die ihre Herkunft aus der Logik Hegels nicht verleugnen.</w:t>
            </w:r>
          </w:p>
        </w:tc>
        <w:tc>
          <w:tcPr>
            <w:tcW w:w="4606" w:type="dxa"/>
          </w:tcPr>
          <w:p w:rsidR="00B15B8F" w:rsidRPr="00B15B8F" w:rsidRDefault="00B15B8F" w:rsidP="00B15B8F">
            <w:r w:rsidRPr="00B15B8F">
              <w:t>Adorno verwendet eine an Hegel erinnernde Ausdrucksweise.</w:t>
            </w:r>
          </w:p>
        </w:tc>
      </w:tr>
      <w:tr w:rsidR="00B15B8F" w:rsidTr="00B15B8F">
        <w:tc>
          <w:tcPr>
            <w:tcW w:w="4606" w:type="dxa"/>
          </w:tcPr>
          <w:p w:rsidR="00B15B8F" w:rsidRPr="00B15B8F" w:rsidRDefault="00B15B8F" w:rsidP="00B15B8F">
            <w:r w:rsidRPr="00B15B8F">
              <w:t>Er begreift die Gesellschaft als Totalität in dem streng dialektischen Sinne, der es verbietet, das Ganze organisch aufzufassen. Nach dem Satz: Es ist mehr als die Summe seiner Teile.</w:t>
            </w:r>
            <w:r w:rsidRPr="00B15B8F">
              <w:br/>
            </w:r>
          </w:p>
        </w:tc>
        <w:tc>
          <w:tcPr>
            <w:tcW w:w="4606" w:type="dxa"/>
          </w:tcPr>
          <w:p w:rsidR="00B15B8F" w:rsidRPr="00B15B8F" w:rsidRDefault="00B15B8F" w:rsidP="00B15B8F">
            <w:r w:rsidRPr="00B15B8F">
              <w:t>Er sagt daher nicht, daß das Ganze mehr ist als die Summe seiner Teile.</w:t>
            </w:r>
          </w:p>
        </w:tc>
      </w:tr>
      <w:tr w:rsidR="00B15B8F" w:rsidTr="00B15B8F">
        <w:tc>
          <w:tcPr>
            <w:tcW w:w="4606" w:type="dxa"/>
          </w:tcPr>
          <w:p w:rsidR="00B15B8F" w:rsidRPr="00B15B8F" w:rsidRDefault="00B15B8F" w:rsidP="00B15B8F">
            <w:r w:rsidRPr="00B15B8F">
              <w:t xml:space="preserve">Theorien sind Ordnungsschemata, die wir in einem syntaktisch verbindlichen Rahmen beliebig konstruieren. </w:t>
            </w:r>
            <w:r w:rsidRPr="00B15B8F">
              <w:br/>
            </w:r>
          </w:p>
        </w:tc>
        <w:tc>
          <w:tcPr>
            <w:tcW w:w="4606" w:type="dxa"/>
          </w:tcPr>
          <w:p w:rsidR="00B15B8F" w:rsidRPr="00B15B8F" w:rsidRDefault="00B15B8F" w:rsidP="00B15B8F">
            <w:r w:rsidRPr="00B15B8F">
              <w:t>Theorien sollten nicht ungrammatisch formuliert werden, ansonsten kannst du sagen, was du willst.</w:t>
            </w:r>
          </w:p>
        </w:tc>
      </w:tr>
      <w:tr w:rsidR="00B15B8F" w:rsidTr="00B15B8F">
        <w:tc>
          <w:tcPr>
            <w:tcW w:w="4606" w:type="dxa"/>
          </w:tcPr>
          <w:p w:rsidR="00B15B8F" w:rsidRPr="00B15B8F" w:rsidRDefault="00B15B8F" w:rsidP="00B15B8F">
            <w:r w:rsidRPr="00B15B8F">
              <w:t xml:space="preserve">Sie erweisen sich für einen speziellen Gegenstandsbereich dann als brauchbar, wenn sich ihnen die reale Mannigfaltigkeit fügt. </w:t>
            </w:r>
            <w:r w:rsidRPr="00B15B8F">
              <w:br/>
            </w:r>
          </w:p>
        </w:tc>
        <w:tc>
          <w:tcPr>
            <w:tcW w:w="4606" w:type="dxa"/>
          </w:tcPr>
          <w:p w:rsidR="00B15B8F" w:rsidRPr="00B15B8F" w:rsidRDefault="00B15B8F" w:rsidP="00B15B8F">
            <w:r w:rsidRPr="00B15B8F">
              <w:t>Sie sind auf ein spezielles Gebiet dann anwendbar, wenn sie anwendbar sind.</w:t>
            </w:r>
          </w:p>
          <w:p w:rsidR="00B15B8F" w:rsidRPr="00B15B8F" w:rsidRDefault="00B15B8F" w:rsidP="00B15B8F"/>
        </w:tc>
      </w:tr>
    </w:tbl>
    <w:p w:rsidR="002676F9" w:rsidRPr="002676F9" w:rsidRDefault="00605D91" w:rsidP="00605D91">
      <w:pPr>
        <w:spacing w:line="480" w:lineRule="auto"/>
      </w:pPr>
      <w:r>
        <w:t>  </w:t>
      </w:r>
    </w:p>
    <w:sectPr w:rsidR="002676F9" w:rsidRPr="002676F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0A" w:rsidRDefault="0068210A" w:rsidP="00605D91">
      <w:r>
        <w:separator/>
      </w:r>
    </w:p>
  </w:endnote>
  <w:endnote w:type="continuationSeparator" w:id="0">
    <w:p w:rsidR="0068210A" w:rsidRDefault="0068210A" w:rsidP="00605D91">
      <w:r>
        <w:continuationSeparator/>
      </w:r>
    </w:p>
  </w:endnote>
  <w:endnote w:id="1">
    <w:p w:rsidR="00605D91" w:rsidRPr="00605D91" w:rsidRDefault="00605D91">
      <w:pPr>
        <w:pStyle w:val="Endnotentext"/>
        <w:rPr>
          <w:lang w:val="de-AT"/>
        </w:rPr>
      </w:pPr>
      <w:r>
        <w:rPr>
          <w:rStyle w:val="Endnotenzeichen"/>
        </w:rPr>
        <w:endnoteRef/>
      </w:r>
      <w:r>
        <w:t xml:space="preserve"> </w:t>
      </w:r>
      <w:r w:rsidRPr="00605D91">
        <w:t>Jakobs, E.-M. ; Knorr, D. ; Molitor-Lübbert, S. (Hrsg.): Wissenschaftliche Textproduktion: mit und ohne Computer. Frankfurt am Main ; New York : P. Lang, 1995 — ISBN 3631476892</w:t>
      </w:r>
      <w:r>
        <w:t>, S. 115.</w:t>
      </w:r>
    </w:p>
  </w:endnote>
  <w:endnote w:id="2">
    <w:p w:rsidR="00C543B0" w:rsidRPr="00605D91" w:rsidRDefault="00C543B0" w:rsidP="00C543B0">
      <w:pPr>
        <w:pStyle w:val="Endnotentext"/>
        <w:rPr>
          <w:lang w:val="de-AT"/>
        </w:rPr>
      </w:pPr>
      <w:r>
        <w:rPr>
          <w:rStyle w:val="Endnotenzeichen"/>
        </w:rPr>
        <w:endnoteRef/>
      </w:r>
      <w:r>
        <w:t xml:space="preserve"> Aus der VWA (2014) einer Versuchsschule.</w:t>
      </w:r>
    </w:p>
  </w:endnote>
  <w:endnote w:id="3">
    <w:p w:rsidR="00A26156" w:rsidRPr="00605D91" w:rsidRDefault="00A26156" w:rsidP="00A26156">
      <w:pPr>
        <w:pStyle w:val="Endnotentext"/>
        <w:rPr>
          <w:lang w:val="de-AT"/>
        </w:rPr>
      </w:pPr>
      <w:r>
        <w:rPr>
          <w:rStyle w:val="Endnotenzeichen"/>
        </w:rPr>
        <w:endnoteRef/>
      </w:r>
      <w:r w:rsidR="008C2E0A" w:rsidRPr="008C2E0A">
        <w:t>Hochstapelei: Das Geschwafel der Geisteswissenschaftler - Alexander Ulfig - eigentümlich frei. URL http://ef-magazin.de/2010/08/02/2404-hochstapelei-das-geschwafel-der-geisteswissenschaftler. - abgerufen am 2014-06-25</w:t>
      </w:r>
      <w:r>
        <w:t xml:space="preserve"> .</w:t>
      </w:r>
    </w:p>
  </w:endnote>
  <w:endnote w:id="4">
    <w:p w:rsidR="00A26156" w:rsidRPr="007B66AE" w:rsidRDefault="00A26156" w:rsidP="00A26156">
      <w:pPr>
        <w:pStyle w:val="Endnotentext"/>
        <w:rPr>
          <w:lang w:val="de-AT"/>
        </w:rPr>
      </w:pPr>
      <w:r>
        <w:rPr>
          <w:rStyle w:val="Endnotenzeichen"/>
        </w:rPr>
        <w:endnoteRef/>
      </w:r>
      <w:r>
        <w:t xml:space="preserve"> </w:t>
      </w:r>
      <w:r w:rsidRPr="007B66AE">
        <w:t>Kornmeier, Martin: Wissenschaftlich schreiben leicht gemacht: für Bachelor, Master und Dissertation. 4. Aufl. : UTB (Haupt), 2011 — ISBN 3825231542</w:t>
      </w:r>
      <w:r>
        <w:t>, S. 209.</w:t>
      </w:r>
    </w:p>
  </w:endnote>
  <w:endnote w:id="5">
    <w:p w:rsidR="00605D91" w:rsidRPr="00605D91" w:rsidRDefault="00605D91" w:rsidP="00605D91">
      <w:pPr>
        <w:rPr>
          <w:sz w:val="20"/>
          <w:szCs w:val="20"/>
        </w:rPr>
      </w:pPr>
      <w:r>
        <w:rPr>
          <w:rStyle w:val="Endnotenzeichen"/>
        </w:rPr>
        <w:endnoteRef/>
      </w:r>
      <w:r>
        <w:t xml:space="preserve"> </w:t>
      </w:r>
      <w:r w:rsidRPr="00605D91">
        <w:rPr>
          <w:sz w:val="20"/>
          <w:szCs w:val="20"/>
        </w:rPr>
        <w:t xml:space="preserve">Hier zitiert nach: </w:t>
      </w:r>
      <w:r w:rsidRPr="00605D91">
        <w:rPr>
          <w:i/>
          <w:iCs/>
          <w:sz w:val="20"/>
          <w:szCs w:val="20"/>
        </w:rPr>
        <w:t>PhilosophieStartseite &gt; Einführung &gt; Nachwort: Wider das philosophische Kauderwelsch</w:t>
      </w:r>
      <w:r w:rsidRPr="00605D91">
        <w:rPr>
          <w:sz w:val="20"/>
          <w:szCs w:val="20"/>
        </w:rPr>
        <w:t>. URL http://www.pinselpark.org/philosonst/10widerkau.html. - abgerufen am 2014-06-25</w:t>
      </w:r>
    </w:p>
    <w:p w:rsidR="00605D91" w:rsidRPr="00605D91" w:rsidRDefault="00605D91" w:rsidP="00605D91">
      <w:pPr>
        <w:rPr>
          <w:sz w:val="20"/>
          <w:szCs w:val="20"/>
        </w:rPr>
      </w:pPr>
      <w:r>
        <w:rPr>
          <w:sz w:val="20"/>
          <w:szCs w:val="20"/>
        </w:rPr>
        <w:t xml:space="preserve">Quelle vermutlich </w:t>
      </w:r>
      <w:r w:rsidRPr="00605D91">
        <w:rPr>
          <w:smallCaps/>
          <w:sz w:val="20"/>
          <w:szCs w:val="20"/>
        </w:rPr>
        <w:t>Popper, Karl R.</w:t>
      </w:r>
      <w:r w:rsidRPr="00605D91">
        <w:rPr>
          <w:sz w:val="20"/>
          <w:szCs w:val="20"/>
        </w:rPr>
        <w:t xml:space="preserve">: </w:t>
      </w:r>
      <w:r w:rsidRPr="00605D91">
        <w:rPr>
          <w:i/>
          <w:iCs/>
          <w:sz w:val="20"/>
          <w:szCs w:val="20"/>
        </w:rPr>
        <w:t>Auf der Suche nach einer besseren Welt: Vorträge und Aufsätze aus dreißig Jahren</w:t>
      </w:r>
      <w:r w:rsidRPr="00605D91">
        <w:rPr>
          <w:sz w:val="20"/>
          <w:szCs w:val="20"/>
        </w:rPr>
        <w:t>. Auflage: 15. Aufl. München u.a. : Piper — ISBN 9783492206990</w:t>
      </w:r>
    </w:p>
    <w:p w:rsidR="00605D91" w:rsidRPr="00605D91" w:rsidRDefault="00605D91">
      <w:pPr>
        <w:pStyle w:val="Endnotentext"/>
        <w:rPr>
          <w:lang w:val="de-A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0A" w:rsidRDefault="0068210A" w:rsidP="00605D91">
      <w:r>
        <w:separator/>
      </w:r>
    </w:p>
  </w:footnote>
  <w:footnote w:type="continuationSeparator" w:id="0">
    <w:p w:rsidR="0068210A" w:rsidRDefault="0068210A" w:rsidP="0060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36929"/>
    <w:multiLevelType w:val="hybridMultilevel"/>
    <w:tmpl w:val="09F672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F9"/>
    <w:rsid w:val="000D3507"/>
    <w:rsid w:val="00213208"/>
    <w:rsid w:val="002676F9"/>
    <w:rsid w:val="00605D91"/>
    <w:rsid w:val="0068210A"/>
    <w:rsid w:val="00750192"/>
    <w:rsid w:val="007B66AE"/>
    <w:rsid w:val="008C2E0A"/>
    <w:rsid w:val="00A26156"/>
    <w:rsid w:val="00A32181"/>
    <w:rsid w:val="00B15B8F"/>
    <w:rsid w:val="00C543B0"/>
    <w:rsid w:val="00C81A6E"/>
    <w:rsid w:val="00DC1D7F"/>
    <w:rsid w:val="00EC1014"/>
    <w:rsid w:val="00EE28A5"/>
    <w:rsid w:val="00F27238"/>
    <w:rsid w:val="00FD62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EBA1E1-A854-4213-8D34-58154B5F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2676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676F9"/>
    <w:rPr>
      <w:rFonts w:asciiTheme="majorHAnsi" w:eastAsiaTheme="majorEastAsia" w:hAnsiTheme="majorHAnsi" w:cstheme="majorBidi"/>
      <w:color w:val="17365D" w:themeColor="text2" w:themeShade="BF"/>
      <w:spacing w:val="5"/>
      <w:kern w:val="28"/>
      <w:sz w:val="52"/>
      <w:szCs w:val="52"/>
      <w:lang w:val="de-DE" w:eastAsia="de-DE"/>
    </w:rPr>
  </w:style>
  <w:style w:type="paragraph" w:styleId="Listenabsatz">
    <w:name w:val="List Paragraph"/>
    <w:basedOn w:val="Standard"/>
    <w:uiPriority w:val="34"/>
    <w:qFormat/>
    <w:rsid w:val="002676F9"/>
    <w:pPr>
      <w:ind w:left="720"/>
      <w:contextualSpacing/>
    </w:pPr>
  </w:style>
  <w:style w:type="character" w:customStyle="1" w:styleId="textkursiv">
    <w:name w:val="textkursiv"/>
    <w:basedOn w:val="Absatz-Standardschriftart"/>
    <w:rsid w:val="00B15B8F"/>
  </w:style>
  <w:style w:type="table" w:styleId="Tabellenraster">
    <w:name w:val="Table Grid"/>
    <w:basedOn w:val="NormaleTabelle"/>
    <w:rsid w:val="00B15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rsid w:val="00605D91"/>
    <w:rPr>
      <w:sz w:val="20"/>
      <w:szCs w:val="20"/>
    </w:rPr>
  </w:style>
  <w:style w:type="character" w:customStyle="1" w:styleId="EndnotentextZchn">
    <w:name w:val="Endnotentext Zchn"/>
    <w:basedOn w:val="Absatz-Standardschriftart"/>
    <w:link w:val="Endnotentext"/>
    <w:rsid w:val="00605D91"/>
    <w:rPr>
      <w:lang w:val="de-DE" w:eastAsia="de-DE"/>
    </w:rPr>
  </w:style>
  <w:style w:type="character" w:styleId="Endnotenzeichen">
    <w:name w:val="endnote reference"/>
    <w:basedOn w:val="Absatz-Standardschriftart"/>
    <w:rsid w:val="00605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520">
      <w:bodyDiv w:val="1"/>
      <w:marLeft w:val="0"/>
      <w:marRight w:val="0"/>
      <w:marTop w:val="0"/>
      <w:marBottom w:val="0"/>
      <w:divBdr>
        <w:top w:val="none" w:sz="0" w:space="0" w:color="auto"/>
        <w:left w:val="none" w:sz="0" w:space="0" w:color="auto"/>
        <w:bottom w:val="none" w:sz="0" w:space="0" w:color="auto"/>
        <w:right w:val="none" w:sz="0" w:space="0" w:color="auto"/>
      </w:divBdr>
      <w:divsChild>
        <w:div w:id="1446533256">
          <w:marLeft w:val="0"/>
          <w:marRight w:val="0"/>
          <w:marTop w:val="0"/>
          <w:marBottom w:val="0"/>
          <w:divBdr>
            <w:top w:val="none" w:sz="0" w:space="0" w:color="auto"/>
            <w:left w:val="none" w:sz="0" w:space="0" w:color="auto"/>
            <w:bottom w:val="none" w:sz="0" w:space="0" w:color="auto"/>
            <w:right w:val="none" w:sz="0" w:space="0" w:color="auto"/>
          </w:divBdr>
          <w:divsChild>
            <w:div w:id="7490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564">
      <w:bodyDiv w:val="1"/>
      <w:marLeft w:val="0"/>
      <w:marRight w:val="0"/>
      <w:marTop w:val="0"/>
      <w:marBottom w:val="0"/>
      <w:divBdr>
        <w:top w:val="none" w:sz="0" w:space="0" w:color="auto"/>
        <w:left w:val="none" w:sz="0" w:space="0" w:color="auto"/>
        <w:bottom w:val="none" w:sz="0" w:space="0" w:color="auto"/>
        <w:right w:val="none" w:sz="0" w:space="0" w:color="auto"/>
      </w:divBdr>
      <w:divsChild>
        <w:div w:id="1306158811">
          <w:marLeft w:val="0"/>
          <w:marRight w:val="0"/>
          <w:marTop w:val="0"/>
          <w:marBottom w:val="0"/>
          <w:divBdr>
            <w:top w:val="none" w:sz="0" w:space="0" w:color="auto"/>
            <w:left w:val="none" w:sz="0" w:space="0" w:color="auto"/>
            <w:bottom w:val="none" w:sz="0" w:space="0" w:color="auto"/>
            <w:right w:val="none" w:sz="0" w:space="0" w:color="auto"/>
          </w:divBdr>
          <w:divsChild>
            <w:div w:id="20266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2033">
      <w:bodyDiv w:val="1"/>
      <w:marLeft w:val="0"/>
      <w:marRight w:val="0"/>
      <w:marTop w:val="0"/>
      <w:marBottom w:val="0"/>
      <w:divBdr>
        <w:top w:val="none" w:sz="0" w:space="0" w:color="auto"/>
        <w:left w:val="none" w:sz="0" w:space="0" w:color="auto"/>
        <w:bottom w:val="none" w:sz="0" w:space="0" w:color="auto"/>
        <w:right w:val="none" w:sz="0" w:space="0" w:color="auto"/>
      </w:divBdr>
      <w:divsChild>
        <w:div w:id="1507597520">
          <w:marLeft w:val="0"/>
          <w:marRight w:val="0"/>
          <w:marTop w:val="0"/>
          <w:marBottom w:val="0"/>
          <w:divBdr>
            <w:top w:val="none" w:sz="0" w:space="0" w:color="auto"/>
            <w:left w:val="none" w:sz="0" w:space="0" w:color="auto"/>
            <w:bottom w:val="none" w:sz="0" w:space="0" w:color="auto"/>
            <w:right w:val="none" w:sz="0" w:space="0" w:color="auto"/>
          </w:divBdr>
          <w:divsChild>
            <w:div w:id="7704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3F9B-FD1B-4E6E-A442-DAB3C252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Aspalter, Christian</dc:creator>
  <cp:lastModifiedBy>Christian Aspalter</cp:lastModifiedBy>
  <cp:revision>5</cp:revision>
  <dcterms:created xsi:type="dcterms:W3CDTF">2014-06-25T07:25:00Z</dcterms:created>
  <dcterms:modified xsi:type="dcterms:W3CDTF">2014-06-26T13:26:00Z</dcterms:modified>
</cp:coreProperties>
</file>